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82" w:rsidRPr="00535829" w:rsidRDefault="00447A82" w:rsidP="00EB48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5829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parametrów wymaganych i ocenianych  dla części nr 1</w:t>
      </w:r>
    </w:p>
    <w:p w:rsidR="00447A82" w:rsidRDefault="00447A82" w:rsidP="00EB4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WYMAGANE</w:t>
      </w:r>
    </w:p>
    <w:p w:rsidR="00447A82" w:rsidRDefault="00447A82" w:rsidP="005358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92F">
        <w:rPr>
          <w:rFonts w:ascii="Times New Roman" w:hAnsi="Times New Roman" w:cs="Times New Roman"/>
          <w:sz w:val="24"/>
          <w:szCs w:val="24"/>
        </w:rPr>
        <w:t>Odczynniki i materiały eksploatacyjne do barwień IHC zostały oszacowane na wykonanie około 72 000 oznaczeń, natomiast  barwień histochemicznych na 2500 oznaczeń. Dzierżawa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05292F">
        <w:rPr>
          <w:rFonts w:ascii="Times New Roman" w:hAnsi="Times New Roman" w:cs="Times New Roman"/>
          <w:sz w:val="24"/>
          <w:szCs w:val="24"/>
        </w:rPr>
        <w:t xml:space="preserve"> systemów do barwienia IHC i</w:t>
      </w:r>
      <w:r>
        <w:rPr>
          <w:rFonts w:ascii="Times New Roman" w:hAnsi="Times New Roman" w:cs="Times New Roman"/>
          <w:sz w:val="24"/>
          <w:szCs w:val="24"/>
        </w:rPr>
        <w:t xml:space="preserve"> 1 do </w:t>
      </w:r>
      <w:r w:rsidRPr="0005292F">
        <w:rPr>
          <w:rFonts w:ascii="Times New Roman" w:hAnsi="Times New Roman" w:cs="Times New Roman"/>
          <w:sz w:val="24"/>
          <w:szCs w:val="24"/>
        </w:rPr>
        <w:t xml:space="preserve"> barwień histochemi</w:t>
      </w:r>
      <w:r>
        <w:rPr>
          <w:rFonts w:ascii="Times New Roman" w:hAnsi="Times New Roman" w:cs="Times New Roman"/>
          <w:sz w:val="24"/>
          <w:szCs w:val="24"/>
        </w:rPr>
        <w:t>i oraz 1 procesora tkankowego i 5 zestawów komputerowych</w:t>
      </w:r>
      <w:r w:rsidRPr="0005292F">
        <w:rPr>
          <w:rFonts w:ascii="Times New Roman" w:hAnsi="Times New Roman" w:cs="Times New Roman"/>
          <w:sz w:val="24"/>
          <w:szCs w:val="24"/>
        </w:rPr>
        <w:t xml:space="preserve"> trwać będzie przez okres 36 miesięcy od dnia podpisania umowy.  </w:t>
      </w:r>
    </w:p>
    <w:p w:rsidR="00447A82" w:rsidRPr="0005292F" w:rsidRDefault="00447A82" w:rsidP="00535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Odczynniki i materiały eksploatacyjne do wykonania testów/oznaczeń immunohistochemicznych są rozumiane jako przeciwciało pierwotne. Wymagany jest inny niezbędny asortyment niezbędny do funkcjonowania systemów np.  system detekcyjny wolny od biotyny, bloker endogennej peroksydazy, bufory do odparafinowania, odkrywania antygenów i uwadniania, bufor do przepłukiwania, rozcieńczalnik do przeciwciał pierwotnych, hematoksylina, dodatkowe immunoglobuliny wzmacniające sygnał odczynu immunohistochemicznego, puste pojemniki do przeciwciał stężonych lub przeciwciał innych producentów o różnych objętościach,  szkiełko nakrywkowe, medium do zaklejania, medium wodne do zaklejania.  Dodatkowo system detekcyjny do wykonywania barwień podwójnych.</w:t>
      </w:r>
    </w:p>
    <w:p w:rsidR="00447A82" w:rsidRDefault="00447A82" w:rsidP="00535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Odczynniki i materiały eksploatacyjne do barwień histochemicznych są rozumiane jako specyficzne odczynniki chemiczne do wykonania określonych barwień, bufory, klipsy oraz inne materiały eksploatacyjne (jeśli dotyczy), szkiełko nakrywkowe i medium do zaklejania.</w:t>
      </w:r>
    </w:p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6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580"/>
        <w:gridCol w:w="3779"/>
        <w:gridCol w:w="1193"/>
        <w:gridCol w:w="3274"/>
      </w:tblGrid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systemu do diagnostyki IHC / 3 sztuki /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odczynników oraz materiałów eksploatacyjnych do diagnostyki IHC powinna być skalkulowana tak aby umożliwiała wykonanie 72.000 testów/oznaczeń IHC, przy założeniu zastosowania 200ul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jeden test/oznaczenie w przypadku aparatów o zmiennej objętości, a w przypadku aparatów o stałej objętości według zaleceń producenta.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Przeciwciała pierwotne, mono – i poliklonalne, mysie i królicze,  przeznaczone do diagnostyki  ludzkiego materiału tkankowego, utrwalonego w formalinie i zatopionego w parafinie oraz rozmazów cytologicznych .  Przeciwciała w gotowych rozcieńczeniach, w opakowaniach  na max. 50  oznaczeń. W wyjątkowych sytuacjach, Zamawiający dopuszcza   przeciwciała stężone, wówczas należy  wskazać, które z nich  są stężone.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Przeciwciała pierwotne w gotowych rozcieńczeniach muszą być kompatybilne z oferowanym systemem wizualizacyjnym oraz pochodzić od jednego wytwórcy. Pakowane w hermetycznie zamkniętych pojemnikach, oznakowane kodem kreskowym. Na każdym opakowaniu podana   data ważności. 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zaoferowania przeciwciała pierwotnego w formie skoncentrowanej Wykonawca zapewnia wystarczającą ilość opakowań o różnej objętości  kompatybilnych z oferowanym systemem do diagnostyki  IHC.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oraz aparaty barwiące wchodzące w skład systemu barwiącego  do diagnostyki IHC przeznaczone do  diagnostyki in vitro oraz posiadają certyfikat CE –IVD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Oferowany system do barwień IHC w zestawie  posiada kompleksowe aparaty do barwień ze sprzętem i oprogramowaniem informatycznym, laserową drukarkę do raportów z tonerami zapewniającym ciągłość pracy do końca trwania umowy, drukarkę kodów na naklejkach wraz z zestawami naklejek oraz tuszami do wykonania 72 000 preparatów.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ważności odczynników do diagnostyki IHC minimum 12 miesięcy.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 musi zapewnić ciągłość pracy systemu do diagnostyki IHC  podczas zaniku zasilania na czas co najmniej 20 minut.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ma możliwość pracy zarówno w systemie otwartym na odczynnikach innych producentów, jak i w systemie zamkniętym.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Aparaty do barwień IHC posiadają możliwość wykonania testów/oznaczeń podwójnych na jednym preparacie.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IHC posiada możliwość wykonania chromogenowej hybrydyzacji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albo bezpośrednio w aparatach barwiących, albo na dodatkowej przystawce (osprzęt) wykonującej hybrydyzacje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Aparaty do barwień IHC zapewniają segregację odpadów na bezpieczne i niebezpieczne, umożliwiając tym samym utylizację DAB-u, który w każdym rozcieńczeniu stanowi zagrożenie dla użytkowników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środowiska.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musi mieć przepustowość 120 + /- 10 % testów/oznaczeń IHC w ciągu 7 godzin 35 minut pracy, przy czym Zamawiający nie dopuszcza nastawiania pracy na noc.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posiada możliwość tworzenia raportów dziennych, miesięcznych, statystyk, przeglądania zleceń, raportowania powtórek oraz możliwość wyszukania pacjenta po określonym wektorze.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bezpłatną, niezależną, zewnętrzną kontrolę jakości wykonywanych testów/oznaczeń IHC w niezależnej zewnętrznej jednostce takiej jak NordiQC lub UK Neqas oraz zapewnia związany z tym proces logistyczny.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dostawy odczynników do diagnostyki immunohistochemicznej maksymalnie 2 dni robocze.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barwiący IHC  musi być fabrycznie nowy (rok produkcji nie wcześniej niż 2015r).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szkolenie personelu z zakresu obsługi i użytkowania systemów w miejscu instalacji.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nieodpłatnie zainstaluje, uruchomi i zwaliduje całość dostarczonego przedmiotu dzierżawy oraz zapewni odpowiednią temperaturę w pomieszczeniu, w którym zainstalowane będą aparaty.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bezpłatny, pełny, certyfikowany serwis gwarancyjny systemów w czasie trwania umowy, obejmujący bieżące naprawy, przeglądy, aktualizowanie oprogramowania komputerowego.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możliwość zgłaszania awarii systemów przez 24 godziny,  na dobę przez 365 dni w roku.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wraz z zamawianymi odczynnikami musi dostarczyć ich karty charakterystyki w formie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pisemnej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elektronicznej w języku polskim, a także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kolejne aktualizacje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pisemnej oraz elektronicznej.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usunięcia awarii w przedmiocie dzierżawy w czasie do 2 dni roboczych a w przypadku sprowadzenia części z zagranicy do 7 dni roboczych.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zainstalowanie systemu zastępczego w czasie nie dłuższym niż 7 dni roboczych od momentu stwierdzenia faktu o potrzebie wymiany sprzętu na zastępczy przez Zamawiającego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wycieki odczynników wynikające z wadliwych podzespołów (uszczelek, zaworków, filtrów) wykonawca winien pokrywać w formie rekompensaty.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Wykonawca określił rzeczywiste zużycie odczynników służących do mycia maszyny po każdorazowym procesie barwienia. Zamawiający nie dopuszcza zużycia odczynników na wyrównywanie ciśnień w aparacie (jeśli dotyczy).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system barwiący identyfikował odczynniki na podstawie informacji z kodów ze szkiełek i wskazywał jakich (niezbędnych) odczynników brakuje.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czynności serwisowe, okresowe przeglądy, konserwacja, okresowe czyszczenia będą wykonywane przez wyspecjalizowanych serwisantów  z użyciem niezbędnych płynów dostarczonych przez Wykonawcę na jego koszt w dni robocze w godzinach od 8 do 14.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Aparaty, UPS-y, zestawy komputerowe wraz z drukarkami i drukarką kodów powinny być dostosowane wielkością do pomieszczenia, jakim dysponuje Zamawiający. Zamawiający wymaga, aby aparaty nie wymagały podłączenia do dygestorium ani do sieci wodno-kanalizacyjnej. Wykonawca winien uwzględnić w pomieszczeniu elementy takie jak blat pod komputer, półki na przechowywanie odczynników, które nie wymagają trzymania ich w warunkach chłodniczych.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zastrzega sobie prawo do wymiany towaru (wadliwego, uszkodzonego w czasie transportu, zareklamowanego, np. z powodu krótkiej daty przydatności) na koszt Wykonawcy. W przypadku uznania reklamacji przez Wykonawcę Zamawiający wymaga, aby towar zamienny był dostarczony do Działu w ciągu 7 dni ( z uwzględnieniem sobót i niedziel) wraz z korektą faktury. Pod pojęciem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Zamawiający rozumie  odczynniki do wykonania barwień histochemicznych, a także pozostały osprzęt będący przedmiotem zamówienia (naklejki na szkiełka, tusz do drukarek, medium do nakrywania).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odczynników w warunkach zalecanych przez producenta.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trzykrotnej awarii tego samego podzespołu (w czasie 6 miesięcy) obowiązek wymiany całego aparatu.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systemu do barwień histochemicznych /1 sztuka /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odczynników oraz materiałów eksploatacyjnych powinna być skalkulowana tak aby umożliwiała wykonanie 2500 barwień histochemicznych przez okres 36 miesięcy (alkohole Zamawiający zapewnia we własnym zakresie).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 do barwień histochemicznych w postaci płynnej: gotowe do użycia lub/oraz koncentraty do rozcieńczenia.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oraz aparat barwiący do barwień histochemicznych przeznaczone są do  diagnostyki in vitro oraz posiadają certyfikat CE-IVD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ważności odczynników do diagnostyki histochemicznej min 6 miesięcy.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dostawy odczynników do diagnostyki histochemicznej maksymalnie 2 dni robocze.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Oferowany system do barwień histochemicznych w zestawie  posiada: kompleksowy aparat do barwień ze sprzętem i oprogramowaniem informatycznym, laserową drukarkę do raportów z tonerami zapewniającym ciągłość pracy do końca trwania umowy, drukarkę kodów na naklejkach wraz z zestawami naklejek oraz tuszami do wykonania 2500 preparatów, zasilacz.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 musi zapewnić ciągłość pracy aparatu do barwień histochemicznych  podczas zaniku zasilania na czas co najmniej 20 minut.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barwień histochemicznych posiada możliwość tworzenia raportów dziennych, miesięcznych,  statystyk, przeglądania zleceń, raportowania powtórek oraz wyszukania pacjenta po określonym wektorze.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do barwień histochemicznych zapewnia etapy podgrzewania preparatu po skrojeniu, odparafinowania oraz barwienia preparatu.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do barwień histochemicznych zapewnia segregację odpadów na bezpieczne i niebezpieczne/szkodliwe wymagające utylizacji.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Aparaty do barwień histochemicznych mają być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fabrycznie nowe, wyprodukowane nie wcześniej niż w 2015r.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trzykrotnej awarii tego samego podzespołu (w czasie 12 miesięcy) obowiązek wymiany całego aparatu.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odczynników w warunkach zalecanych przez producenta.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histochemicznej musi mieć przepustowość 10 +/- 10%  testów/ oznaczeń histochemicznych w ciągu 7 godzin 35 minut pracy, przy czym Zamawiający nie dopuszcza nastawiania pracy na noc.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szkolenie personelu z zakresu obsługi i użytkowania systemów w miejscu instalacji.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nieodpłatnie zainstaluje, uruchomi i zwaliduje całość dostarczonego przedmiotu dzierżawy.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bezpłatny, pełny, certyfikowany serwis gwarancyjny systemów w czasie trwania umowy, obejmujący bieżące naprawy, przeglądy, aktualizowanie oprogramowania komputerowego.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możliwość zgłaszania awarii systemów przez 24 godziny,  na dobę przez 365 dni w roku.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wraz z zamawianymi odczynnikami musi dostarczyć ich karty charakterystyki w formie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pisemnej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elektronicznej w języku polskim, a także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kolejne aktualizacje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pisemnej oraz elektronicznej.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usunięcia awarii w przedmiocie dzierżawy w czasie do 2 dni roboczych a w przypadku sprowadzenia części z zagranicy do 7 dni roboczych.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zainstalowania systemu zastępczego w czasie nie dłuższym niż 7 dni roboczych od momentu stwierdzenia faktu o potrzebie wymiany sprzętu na zastępczy przez Zamawiającego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wycieki odczynników wynikające z wadliwych podzespołów (uszczelek, zaworków, filtrów) wykonawca winien pokrywać w formie rekompensaty.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Wykonawca określił rzeczywiste zużycie odczynników służących do mycia maszyny po każdorazowym procesie barwienia. Zamawiający nie dopuszcza zużycia odczynników na wyrównywanie ciśnień w aparacie (jeśli dotyczy).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czynności serwisowe, okresowe przeglądy, konserwacja, okresowe czyszczenia będą wykonywane przez wyspecjalizowanych serwisantów  z użyciem niezbędnych płynów dostarczonych przez Wykonawcę na jego koszt w dni robocze w godzinach od 8 do 14.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Aparaty, UPS-y, zestawy komputerowe wraz z drukarkami i drukarką kodów powinny być dostosowane wielkością do pomieszczenia, jakim dysponuje Zamawiający. Zamawiający wymaga, aby aparaty nie wymagały podłączenia do dygestorium ani do sieci wodno-kanalizacyjnej. Wykonawca winien uwzględnić w pomieszczeniu elementy takie jak blat pod komputer, półki na przechowywanie odczynników, które nie wymagają trzymania ich w warunkach chłodniczych.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zastrzega sobie prawo do wymiany towaru (wadliwego, uszkodzonego w czasie transportu, zareklamowanego, np. z powodu krótkiej daty przydatności) na koszt Wykonawcy. W przypadku uznania reklamacji przez Wykonawcę Zamawiający wymaga, aby towar zamienny był dostarczony do Działu w ciągu 7 dni ( z uwzględnieniem sobót i niedziel) wraz z korektą faktury. Pod pojęciem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Zamawiający rozumie  odczynniki do wykonania barwień histochemicznych, a także pozostały osprzęt będący przedmiotem zamówienia 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system barwiący identyfikował odczynniki na podstawie informacji z kodów ze szkiełek i wskazywał jakich (niezbędnych) odczynników brakuje.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procesora tkankowego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Zasilanie elektryczne 230V/50 Hz.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Urządzenie wyposażone w kolorowy dotykowy wyświetlacz ciekłokrystaliczny pokryty powłoką odporną na odczynniki. Wyświetlacz zintegrowany z obudową urządzenia.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System całkowicie zamknięty uniemożliwiający wydobywanie się szkodliwych oparów na zewnątrz.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Sześcienna komora reakcyjna zamykana szczelną pokrywą, wykonana w całości ze stali nierdzewnej.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System zabezpieczający otwarcie komory reakcyjnej w stanie wysokiego ciśnienia lub podciśnienia.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Pokrywa komory reakcyjnej wyposażona w okno pozwalające na wzrokową inspekcję bieżącego stanu w komorze.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System odciągu oparów z komory reakcyjnej w przypadku jej otwarcia.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Pojemność robocza komory min. 300 kasetek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Min. 4 pojemniki na parafinę z możliwością bezpośredniego dostępu do każdego z pojemników np. w celu swobodnego uzupełniania granulatu parafiny lub wzrokowej inspekcji jej czystości.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 pojemniki parafinowe biorące udział w procesie przeprowadzania.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Funkcja automatycznego uzupełniania parafiny w trakcie trwania procesu z pojemnika 4-tego (dodatkowego)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Automatyczna wymiana najbrudniejszej parafiny na parafinę z pojemnika 4-tego (dodatkowego).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Funkcja oczyszczania parafiny zapewniająca jej optymalne i długotrwałe wykorzystanie.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Wymienne pojemniki na odczynniki o pojemności  co najmniej 4 l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System 3 stopniowej kontroli poziomu odczynników w komorze reakcyjnej zapewniający prawidłowe przeprowadzenie wszystkich preparatów.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Funkcja czyszczenia retorty, w trybie determinowanym znajdującymi się tam uprzednio odczynnikami.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Standardowe 3 stopniowe (ksylen, alkohol, woda) czyszczenie retorty zakończone płukaniem wodą.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Funkcja mieszania płynu reakcyjnego w retorcie w celu polepszenia infiltracji.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zapamiętania min. 10 różnych programów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Określanie czasu infiltracji, warunków (ciśnienia; podciśnienia; mieszanych kombinacji ciśnienia i podciśnienia; ciśnienie otoczenia) i temperatury dla każdego z kroków programu.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programowania opóźnienia rozpoczęcia procesu (programy weekendowe).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zapisu programów oraz statusu urządzenia na zewnętrzny nośnik danych w celu archiwizacji.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Wbudowany alarm dźwiękowy sygnalizujący błędną pracę urządzenia (błędy lub usterki)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System zarządzania odczynnikami informujący o konieczności wymiany określonego odczynnika, monitorujący stan odczynników (ilość przeprowadzonego materiału w poszczególnym odczynniku), zliczający ilość przeprowadzanych preparatów, ilość cykli, monitorujący na bieżąco stan urządzenia.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Pomiar stężenia alkoholu we wszystkich pojemnikach z alkoholem oraz zarządzanie wymianą odczynników na podstawie odczytów stężenia.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Wymiana odczynników gotowych do użycia możliwa za pośrednictwem szuflady na butelki odczynnikowe.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uruchamiania programów bezksylenowych – walidowanych i dostarczonych przez producenta oraz własnych.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zdalnego napełniania/ wymiany/ opróżniania odczynników (poprzez zewnętrzne złącze oraz wąż)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Możliwość automatycznej wymiany odczynników przy użyciu zbiorczych 5 litrowych pojemników odczynnikowych.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podłączenia do sieci Internet/ Ethernet w celu zdalnego diagnozowania nieprawidłowości i monitorowania parametrów technicznych pracy urządzenia.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Wbudowana bateria UPS pozwalająca na zabezpieczenie preparatów w przypadku zaniku zasilania poprzez umieszczenie ich w odczynniku bezpiecznym – determinowanym krokiem poprzedzającym zanik napięcia, a następnie dokończenie programu po wznowieniu zasilania.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Instrukcja obsługi w języku polskim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Wymagana prawem deklaracja zgodności CE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Default="00447A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34</w:t>
            </w:r>
            <w:r w:rsidRPr="00F257D9">
              <w:rPr>
                <w:rFonts w:ascii="Times New Roman" w:hAnsi="Times New Roman" w:cs="Times New Roman"/>
                <w:color w:val="FF6600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 xml:space="preserve">Wykonawca zapewnia szkolenie personelu z zakresu obsługi i użytkowania </w:t>
            </w:r>
            <w:r>
              <w:rPr>
                <w:rFonts w:ascii="Times New Roman" w:hAnsi="Times New Roman" w:cs="Times New Roman"/>
                <w:color w:val="FF6600"/>
                <w:lang w:eastAsia="pl-PL"/>
              </w:rPr>
              <w:t>procesora</w:t>
            </w: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 xml:space="preserve"> w miejscu instalacji.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35</w:t>
            </w:r>
            <w:r w:rsidRPr="00F257D9">
              <w:rPr>
                <w:rFonts w:ascii="Times New Roman" w:hAnsi="Times New Roman" w:cs="Times New Roman"/>
                <w:color w:val="FF6600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Wykonawca nieodpłatnie zainstaluje, uruchomi i zwaliduje całość dostarczonego przedmiotu dzierżawy.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36</w:t>
            </w:r>
            <w:r w:rsidRPr="00F257D9">
              <w:rPr>
                <w:rFonts w:ascii="Times New Roman" w:hAnsi="Times New Roman" w:cs="Times New Roman"/>
                <w:color w:val="FF6600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 xml:space="preserve">Wykonawca zapewnia bezpłatny, pełny, certyfikowany serwis gwarancyjny </w:t>
            </w:r>
            <w:r>
              <w:rPr>
                <w:rFonts w:ascii="Times New Roman" w:hAnsi="Times New Roman" w:cs="Times New Roman"/>
                <w:color w:val="FF6600"/>
                <w:lang w:eastAsia="pl-PL"/>
              </w:rPr>
              <w:t xml:space="preserve">procesora </w:t>
            </w: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w czasie trwania umowy, obejmujący bieżące naprawy, przeglądy, aktualizowanie oprogramowania komputerowego.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37</w:t>
            </w:r>
            <w:r w:rsidRPr="00F257D9">
              <w:rPr>
                <w:rFonts w:ascii="Times New Roman" w:hAnsi="Times New Roman" w:cs="Times New Roman"/>
                <w:color w:val="FF6600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 xml:space="preserve">Wykonawca musi zapewnić możliwość zgłaszania awarii </w:t>
            </w:r>
            <w:r>
              <w:rPr>
                <w:rFonts w:ascii="Times New Roman" w:hAnsi="Times New Roman" w:cs="Times New Roman"/>
                <w:color w:val="FF6600"/>
                <w:lang w:eastAsia="pl-PL"/>
              </w:rPr>
              <w:t xml:space="preserve">procesora </w:t>
            </w: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przez 24 godziny,  na dobę przez 365 dni w roku.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38</w:t>
            </w:r>
            <w:r w:rsidRPr="00F257D9">
              <w:rPr>
                <w:rFonts w:ascii="Times New Roman" w:hAnsi="Times New Roman" w:cs="Times New Roman"/>
                <w:color w:val="FF6600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39</w:t>
            </w:r>
            <w:r w:rsidRPr="00F257D9">
              <w:rPr>
                <w:rFonts w:ascii="Times New Roman" w:hAnsi="Times New Roman" w:cs="Times New Roman"/>
                <w:color w:val="FF6600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Wykonawca zobowiązuje się  do usunięcia awarii w przedmiocie dzierżawy w czasie do 2 dni roboczych a w przypadku sprowadzenia części z zagranicy do 7 dni roboczych.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40</w:t>
            </w:r>
            <w:r w:rsidRPr="00F257D9">
              <w:rPr>
                <w:rFonts w:ascii="Times New Roman" w:hAnsi="Times New Roman" w:cs="Times New Roman"/>
                <w:color w:val="FF6600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Wykonawca zobowiązuje się  do zainstalowania procesora zastępczego w czasie nie dłuższym niż 7 dni roboczych od momentu stwierdzenia faktu o potrzebie wymiany sprzętu na zastępczy przez Zamawiającego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</w:p>
        </w:tc>
      </w:tr>
      <w:tr w:rsidR="00447A82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41</w:t>
            </w:r>
            <w:r w:rsidRPr="00F257D9">
              <w:rPr>
                <w:rFonts w:ascii="Times New Roman" w:hAnsi="Times New Roman" w:cs="Times New Roman"/>
                <w:color w:val="FF6600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</w:rPr>
            </w:pPr>
            <w:r w:rsidRPr="00F257D9">
              <w:rPr>
                <w:rFonts w:ascii="Times New Roman" w:hAnsi="Times New Roman" w:cs="Times New Roman"/>
                <w:color w:val="FF6600"/>
              </w:rPr>
              <w:t>Wszelkie czynności serwisowe, okresowe przeglądy, konserwacja, okresowe czyszczenia będą wykonywane przez wyspecjalizowanych serwisantów  z użyciem niezbędnych płynów dostarczonych przez Wykonawcę na jego koszt w dni robocze w godzinach od 8 do 14.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</w:p>
        </w:tc>
      </w:tr>
    </w:tbl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8"/>
        <w:gridCol w:w="3702"/>
        <w:gridCol w:w="1244"/>
        <w:gridCol w:w="3256"/>
      </w:tblGrid>
      <w:tr w:rsidR="00447A82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375DD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02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375DD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komputerów stacjonarnych         /5 sztuk/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375DD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56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375DD6">
            <w:pPr>
              <w:spacing w:after="0" w:line="100" w:lineRule="atLeast"/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447A82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02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590496" w:rsidRDefault="00447A82" w:rsidP="00590496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590496">
              <w:rPr>
                <w:rFonts w:ascii="Times New Roman" w:hAnsi="Times New Roman" w:cs="Times New Roman"/>
                <w:u w:val="single"/>
              </w:rPr>
              <w:t>Minimalne wymagania :</w:t>
            </w:r>
          </w:p>
          <w:p w:rsidR="00447A82" w:rsidRPr="00EB4832" w:rsidRDefault="00447A82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procesor: Intel Core 2 duo 2.4 GHz,</w:t>
            </w:r>
          </w:p>
          <w:p w:rsidR="00447A82" w:rsidRDefault="00447A82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amięć RAM: 2 GB,</w:t>
            </w:r>
          </w:p>
          <w:p w:rsidR="00447A82" w:rsidRDefault="00447A82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ysk twardy: 250 GB,</w:t>
            </w:r>
          </w:p>
          <w:p w:rsidR="00447A82" w:rsidRDefault="00447A82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LAN: RJ45 Ethernet (100 MBit),</w:t>
            </w:r>
          </w:p>
          <w:p w:rsidR="00447A82" w:rsidRDefault="00447A82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port USB: USB 2.0,</w:t>
            </w:r>
          </w:p>
          <w:p w:rsidR="00447A82" w:rsidRDefault="00447A82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ekranu: 1280 * 1024,</w:t>
            </w:r>
          </w:p>
          <w:p w:rsidR="00447A82" w:rsidRPr="00FF36A5" w:rsidRDefault="00447A82" w:rsidP="00590496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F36A5">
              <w:rPr>
                <w:rFonts w:ascii="Times New Roman" w:hAnsi="Times New Roman" w:cs="Times New Roman"/>
                <w:lang w:eastAsia="pl-PL"/>
              </w:rPr>
              <w:t xml:space="preserve">system operacyjny: Microsoft Windows XP / Microsoft Windows 7 (32bit), </w:t>
            </w:r>
            <w:r w:rsidRPr="00FF36A5">
              <w:rPr>
                <w:rFonts w:ascii="Times New Roman" w:hAnsi="Times New Roman" w:cs="Times New Roman"/>
                <w:color w:val="FF6600"/>
                <w:lang w:eastAsia="pl-PL"/>
              </w:rPr>
              <w:t xml:space="preserve">dopuszcza się zaoferowanie </w:t>
            </w:r>
            <w:r w:rsidRPr="00FF36A5">
              <w:rPr>
                <w:rFonts w:ascii="Times New Roman" w:hAnsi="Times New Roman" w:cs="Times New Roman"/>
                <w:color w:val="FF6600"/>
                <w:lang w:eastAsia="zh-CN"/>
              </w:rPr>
              <w:t xml:space="preserve">komputerów posiadających system Windows 10  </w:t>
            </w:r>
            <w:r>
              <w:rPr>
                <w:rFonts w:ascii="Times New Roman" w:hAnsi="Times New Roman" w:cs="Times New Roman"/>
                <w:color w:val="FF6600"/>
                <w:lang w:eastAsia="zh-CN"/>
              </w:rPr>
              <w:t>Professional</w:t>
            </w:r>
            <w:r w:rsidRPr="00FF36A5">
              <w:rPr>
                <w:rFonts w:ascii="Times New Roman" w:hAnsi="Times New Roman" w:cs="Times New Roman"/>
                <w:color w:val="FF6600"/>
                <w:lang w:eastAsia="zh-CN"/>
              </w:rPr>
              <w:t xml:space="preserve">  64 bit</w:t>
            </w:r>
            <w:r>
              <w:rPr>
                <w:rFonts w:ascii="Times New Roman" w:hAnsi="Times New Roman" w:cs="Times New Roman"/>
                <w:color w:val="FF660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F36A5">
              <w:rPr>
                <w:rFonts w:ascii="Times New Roman" w:hAnsi="Times New Roman" w:cs="Times New Roman"/>
                <w:lang w:eastAsia="pl-PL"/>
              </w:rPr>
              <w:t xml:space="preserve"> zainstalowany Microsoft .NET Framework 4.0.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56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82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2</w:t>
            </w:r>
            <w:r w:rsidRPr="00F257D9">
              <w:rPr>
                <w:rFonts w:ascii="Times New Roman" w:hAnsi="Times New Roman" w:cs="Times New Roman"/>
                <w:color w:val="FF6600"/>
              </w:rPr>
              <w:t>.</w:t>
            </w:r>
          </w:p>
        </w:tc>
        <w:tc>
          <w:tcPr>
            <w:tcW w:w="3702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 xml:space="preserve">Wykonawca zapewnia bezpłatny, pełny, certyfikowany serwis gwarancyjny </w:t>
            </w:r>
            <w:r>
              <w:rPr>
                <w:rFonts w:ascii="Times New Roman" w:hAnsi="Times New Roman" w:cs="Times New Roman"/>
                <w:color w:val="FF6600"/>
                <w:lang w:eastAsia="pl-PL"/>
              </w:rPr>
              <w:t xml:space="preserve">komputerów </w:t>
            </w: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w czasie trwania umowy, obejmujący bieżące naprawy, przeglądy, aktualizowanie oprogramowania komputerowego.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447A82" w:rsidRPr="00F257D9" w:rsidRDefault="00447A82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6600"/>
                <w:lang w:eastAsia="pl-PL"/>
              </w:rPr>
            </w:pPr>
            <w:r w:rsidRPr="00F257D9">
              <w:rPr>
                <w:rFonts w:ascii="Times New Roman" w:hAnsi="Times New Roman" w:cs="Times New Roman"/>
                <w:color w:val="FF6600"/>
                <w:lang w:eastAsia="pl-PL"/>
              </w:rPr>
              <w:t>TAK</w:t>
            </w:r>
          </w:p>
        </w:tc>
        <w:tc>
          <w:tcPr>
            <w:tcW w:w="3256" w:type="dxa"/>
            <w:shd w:val="clear" w:color="auto" w:fill="FFFFFF"/>
            <w:tcMar>
              <w:left w:w="58" w:type="dxa"/>
            </w:tcMar>
          </w:tcPr>
          <w:p w:rsidR="00447A82" w:rsidRPr="00F257D9" w:rsidRDefault="00447A82" w:rsidP="00CA6D74">
            <w:pPr>
              <w:spacing w:after="0" w:line="100" w:lineRule="atLeast"/>
              <w:rPr>
                <w:rFonts w:ascii="Times New Roman" w:hAnsi="Times New Roman" w:cs="Times New Roman"/>
                <w:color w:val="FF6600"/>
                <w:lang w:eastAsia="pl-PL"/>
              </w:rPr>
            </w:pPr>
          </w:p>
        </w:tc>
      </w:tr>
    </w:tbl>
    <w:p w:rsidR="00447A82" w:rsidRPr="00FF36A5" w:rsidRDefault="00447A82">
      <w:pPr>
        <w:rPr>
          <w:rFonts w:ascii="Times New Roman" w:hAnsi="Times New Roman" w:cs="Times New Roman"/>
          <w:color w:val="FF6600"/>
          <w:u w:val="single"/>
        </w:rPr>
      </w:pPr>
      <w:r w:rsidRPr="00FF36A5">
        <w:rPr>
          <w:rFonts w:ascii="Times New Roman" w:hAnsi="Times New Roman" w:cs="Times New Roman"/>
          <w:b/>
          <w:bCs/>
          <w:color w:val="FF6600"/>
          <w:u w:val="single"/>
          <w:lang w:eastAsia="zh-CN"/>
        </w:rPr>
        <w:t xml:space="preserve">Zamawiający zastrzega zatrzymanie dysków z danymi po zakończeniu </w:t>
      </w:r>
      <w:r>
        <w:rPr>
          <w:rFonts w:ascii="Times New Roman" w:hAnsi="Times New Roman" w:cs="Times New Roman"/>
          <w:b/>
          <w:bCs/>
          <w:color w:val="FF6600"/>
          <w:u w:val="single"/>
          <w:lang w:eastAsia="zh-CN"/>
        </w:rPr>
        <w:t xml:space="preserve">trwania </w:t>
      </w:r>
      <w:r w:rsidRPr="00FF36A5">
        <w:rPr>
          <w:rFonts w:ascii="Times New Roman" w:hAnsi="Times New Roman" w:cs="Times New Roman"/>
          <w:b/>
          <w:bCs/>
          <w:color w:val="FF6600"/>
          <w:u w:val="single"/>
          <w:lang w:eastAsia="zh-CN"/>
        </w:rPr>
        <w:t>umowy.</w:t>
      </w:r>
    </w:p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p w:rsidR="00447A82" w:rsidRPr="00600A30" w:rsidRDefault="00447A82" w:rsidP="00600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OCENIANE</w:t>
      </w:r>
    </w:p>
    <w:tbl>
      <w:tblPr>
        <w:tblW w:w="9656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8"/>
        <w:gridCol w:w="3971"/>
        <w:gridCol w:w="1244"/>
        <w:gridCol w:w="3823"/>
      </w:tblGrid>
      <w:tr w:rsidR="00447A82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447A82" w:rsidRDefault="00447A82" w:rsidP="00894031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ciągłego dokładania odczynników i szkiełek do barwień, bez konieczności oczekiwania na zakończenie cyklu barwienia.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447A82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447A82" w:rsidRDefault="00447A82" w:rsidP="00894031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drukowania protokołów barwienia poszczególnych testów/badań IHC i barwień histochemicznych z programu komputerowego, zawierających informacje takie jak: rodzaj odkrywania, długość inkubacji z pierwotnym przeciwciałem, zastosowany system barwiący, czas inkubacji z pierwotnym przeciwciałem oraz szczegółowe protokoły barwień histochemicznych.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447A82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447A82" w:rsidRDefault="00447A82" w:rsidP="00894031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barwienia H. pylori -Warthin-Starry lub innego  barwienia, posiadającego  żółte tło i czarne krętki bez toluidyny i azotanu uranylu.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447A82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447A82" w:rsidRDefault="00447A82" w:rsidP="008940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 tworzenia własnych protokołów w systemie IHC.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447A82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447A82" w:rsidRDefault="00447A82" w:rsidP="008940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wykonania diagnozy metodą CISH w mniej niż 4 godziny (od momentu włożenia szkiełka do wyjęcia).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447A82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447A82" w:rsidRDefault="00447A82" w:rsidP="008940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wykonania ISH nie zawierająca srebra.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7A82" w:rsidRDefault="00447A82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*</w:t>
            </w:r>
          </w:p>
        </w:tc>
      </w:tr>
    </w:tbl>
    <w:p w:rsidR="00447A82" w:rsidRDefault="00447A82" w:rsidP="00E237F3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 w:rsidP="003A3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właściwe zaznaczyć</w:t>
      </w:r>
    </w:p>
    <w:p w:rsidR="00447A82" w:rsidRPr="00293A83" w:rsidRDefault="00447A82" w:rsidP="00E237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A83">
        <w:rPr>
          <w:rFonts w:ascii="Times New Roman" w:hAnsi="Times New Roman" w:cs="Times New Roman"/>
          <w:b/>
          <w:bCs/>
          <w:sz w:val="24"/>
          <w:szCs w:val="24"/>
          <w:u w:val="single"/>
        </w:rPr>
        <w:t>Uwaga – za każdą odpowiedź zaznaczoną na TAK Wykonawca otrzyma 5 punktów. Suma punktów będzie podstawą do sporządzenia  oceny parametrów techniczno – użytkowych.</w:t>
      </w:r>
    </w:p>
    <w:p w:rsidR="00447A82" w:rsidRDefault="00447A82" w:rsidP="00E237F3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 w:rsidP="00E237F3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 w:rsidP="00957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A82" w:rsidRDefault="00447A82" w:rsidP="009A1BA9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47A82" w:rsidRDefault="00447A82" w:rsidP="009A1BA9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>
      <w:pPr>
        <w:rPr>
          <w:rFonts w:ascii="Times New Roman" w:hAnsi="Times New Roman" w:cs="Times New Roman"/>
          <w:sz w:val="24"/>
          <w:szCs w:val="24"/>
        </w:rPr>
      </w:pPr>
    </w:p>
    <w:p w:rsidR="00447A82" w:rsidRDefault="00447A82">
      <w:pPr>
        <w:rPr>
          <w:rFonts w:cs="Arial"/>
        </w:rPr>
      </w:pPr>
    </w:p>
    <w:sectPr w:rsidR="00447A82" w:rsidSect="00A32C06">
      <w:headerReference w:type="default" r:id="rId7"/>
      <w:footerReference w:type="default" r:id="rId8"/>
      <w:pgSz w:w="11906" w:h="16838"/>
      <w:pgMar w:top="1417" w:right="1417" w:bottom="1969" w:left="1417" w:header="0" w:footer="1417" w:gutter="0"/>
      <w:cols w:space="708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82" w:rsidRDefault="00447A82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447A82" w:rsidRDefault="00447A82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82" w:rsidRDefault="00447A82">
    <w:pPr>
      <w:pStyle w:val="Footer"/>
      <w:jc w:val="center"/>
      <w:rPr>
        <w:rFonts w:cs="Arial"/>
      </w:rPr>
    </w:pPr>
    <w:fldSimple w:instr="PAGE">
      <w:r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82" w:rsidRDefault="00447A82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447A82" w:rsidRDefault="00447A82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82" w:rsidRPr="00EB4832" w:rsidRDefault="00447A82">
    <w:pPr>
      <w:pStyle w:val="Header"/>
      <w:rPr>
        <w:rFonts w:ascii="Times New Roman" w:hAnsi="Times New Roman" w:cs="Times New Roman"/>
        <w:sz w:val="24"/>
        <w:szCs w:val="24"/>
      </w:rPr>
    </w:pPr>
    <w:r w:rsidRPr="00EB4832">
      <w:rPr>
        <w:rFonts w:ascii="Times New Roman" w:hAnsi="Times New Roman" w:cs="Times New Roman"/>
        <w:sz w:val="24"/>
        <w:szCs w:val="24"/>
      </w:rPr>
      <w:t xml:space="preserve">DZPZ/333/1UEPN/2018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EB4832">
      <w:rPr>
        <w:rFonts w:ascii="Times New Roman" w:hAnsi="Times New Roman" w:cs="Times New Roman"/>
        <w:sz w:val="24"/>
        <w:szCs w:val="24"/>
      </w:rPr>
      <w:t xml:space="preserve">                              Załącznik nr 6 do SIWZ.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CE7"/>
    <w:multiLevelType w:val="multilevel"/>
    <w:tmpl w:val="A39C1DA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EAA5B38"/>
    <w:multiLevelType w:val="multilevel"/>
    <w:tmpl w:val="7FA697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47D"/>
    <w:rsid w:val="00023FDE"/>
    <w:rsid w:val="00035D1F"/>
    <w:rsid w:val="0005292F"/>
    <w:rsid w:val="00093058"/>
    <w:rsid w:val="000F6017"/>
    <w:rsid w:val="001F20E3"/>
    <w:rsid w:val="00293A83"/>
    <w:rsid w:val="002B2E3E"/>
    <w:rsid w:val="00375DD6"/>
    <w:rsid w:val="003A368F"/>
    <w:rsid w:val="003D178D"/>
    <w:rsid w:val="00447A82"/>
    <w:rsid w:val="00477816"/>
    <w:rsid w:val="0048496C"/>
    <w:rsid w:val="004A2CF2"/>
    <w:rsid w:val="004C64A5"/>
    <w:rsid w:val="00535829"/>
    <w:rsid w:val="00590496"/>
    <w:rsid w:val="005959D5"/>
    <w:rsid w:val="00600A30"/>
    <w:rsid w:val="00651C9A"/>
    <w:rsid w:val="006855DE"/>
    <w:rsid w:val="00723FBC"/>
    <w:rsid w:val="00784774"/>
    <w:rsid w:val="008114C6"/>
    <w:rsid w:val="00894031"/>
    <w:rsid w:val="008E3738"/>
    <w:rsid w:val="00921D82"/>
    <w:rsid w:val="00922DD2"/>
    <w:rsid w:val="0095701E"/>
    <w:rsid w:val="00993782"/>
    <w:rsid w:val="009A0928"/>
    <w:rsid w:val="009A1BA9"/>
    <w:rsid w:val="00A32C06"/>
    <w:rsid w:val="00A948A2"/>
    <w:rsid w:val="00B14581"/>
    <w:rsid w:val="00B638C4"/>
    <w:rsid w:val="00B70073"/>
    <w:rsid w:val="00BA147D"/>
    <w:rsid w:val="00BF09F6"/>
    <w:rsid w:val="00C1157F"/>
    <w:rsid w:val="00C11FE5"/>
    <w:rsid w:val="00C27CF9"/>
    <w:rsid w:val="00C301AA"/>
    <w:rsid w:val="00CA6D74"/>
    <w:rsid w:val="00CD3589"/>
    <w:rsid w:val="00CF5B39"/>
    <w:rsid w:val="00D955AC"/>
    <w:rsid w:val="00E237F3"/>
    <w:rsid w:val="00E6730D"/>
    <w:rsid w:val="00EB4832"/>
    <w:rsid w:val="00EB6ED0"/>
    <w:rsid w:val="00ED682B"/>
    <w:rsid w:val="00EF5CD4"/>
    <w:rsid w:val="00F257D9"/>
    <w:rsid w:val="00F4474A"/>
    <w:rsid w:val="00FE246D"/>
    <w:rsid w:val="00FF0B08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06"/>
    <w:pPr>
      <w:suppressAutoHyphens/>
      <w:spacing w:after="200" w:line="276" w:lineRule="auto"/>
    </w:pPr>
    <w:rPr>
      <w:rFonts w:cs="Calibri"/>
      <w:color w:val="00000A"/>
      <w:kern w:val="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32C06"/>
    <w:pPr>
      <w:spacing w:before="280" w:after="280" w:line="100" w:lineRule="atLeast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730D"/>
    <w:rPr>
      <w:rFonts w:ascii="Cambria" w:hAnsi="Cambria" w:cs="Cambria"/>
      <w:b/>
      <w:bCs/>
      <w:i/>
      <w:iCs/>
      <w:color w:val="00000A"/>
      <w:kern w:val="2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32C06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A32C06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A32C06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A32C0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efaultParagraphFont"/>
    <w:uiPriority w:val="99"/>
    <w:rsid w:val="00A32C0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Zakotwiczenieprzypisudolnego">
    <w:name w:val="Zakotwiczenie przypisu dolnego"/>
    <w:uiPriority w:val="99"/>
    <w:rsid w:val="00A32C06"/>
    <w:rPr>
      <w:vertAlign w:val="superscript"/>
    </w:rPr>
  </w:style>
  <w:style w:type="character" w:customStyle="1" w:styleId="FontStyle24">
    <w:name w:val="Font Style24"/>
    <w:uiPriority w:val="99"/>
    <w:rsid w:val="00A32C06"/>
    <w:rPr>
      <w:rFonts w:ascii="Bookman Old Style" w:hAnsi="Bookman Old Style" w:cs="Bookman Old Style"/>
      <w:sz w:val="16"/>
      <w:szCs w:val="16"/>
    </w:rPr>
  </w:style>
  <w:style w:type="character" w:customStyle="1" w:styleId="FontStyle28">
    <w:name w:val="Font Style28"/>
    <w:uiPriority w:val="99"/>
    <w:rsid w:val="00A32C06"/>
    <w:rPr>
      <w:rFonts w:ascii="Bookman Old Style" w:hAnsi="Bookman Old Style" w:cs="Bookman Old Style"/>
      <w:b/>
      <w:bCs/>
      <w:i/>
      <w:iCs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A32C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30D"/>
    <w:rPr>
      <w:color w:val="00000A"/>
      <w:kern w:val="2"/>
      <w:lang w:eastAsia="en-US"/>
    </w:rPr>
  </w:style>
  <w:style w:type="paragraph" w:styleId="BodyText">
    <w:name w:val="Body Text"/>
    <w:basedOn w:val="Normal"/>
    <w:link w:val="BodyTextChar"/>
    <w:uiPriority w:val="99"/>
    <w:rsid w:val="00A32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730D"/>
    <w:rPr>
      <w:color w:val="00000A"/>
      <w:kern w:val="2"/>
      <w:lang w:eastAsia="en-US"/>
    </w:rPr>
  </w:style>
  <w:style w:type="paragraph" w:styleId="List">
    <w:name w:val="List"/>
    <w:basedOn w:val="BodyText"/>
    <w:uiPriority w:val="99"/>
    <w:rsid w:val="00A32C06"/>
  </w:style>
  <w:style w:type="paragraph" w:styleId="Caption">
    <w:name w:val="caption"/>
    <w:basedOn w:val="Normal"/>
    <w:uiPriority w:val="99"/>
    <w:qFormat/>
    <w:rsid w:val="00A32C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32C06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A32C06"/>
    <w:pPr>
      <w:spacing w:line="10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30D"/>
    <w:rPr>
      <w:color w:val="00000A"/>
      <w:kern w:val="2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A3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3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2C0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30D"/>
    <w:rPr>
      <w:rFonts w:ascii="Times New Roman" w:hAnsi="Times New Roman" w:cs="Times New Roman"/>
      <w:color w:val="00000A"/>
      <w:kern w:val="2"/>
      <w:sz w:val="2"/>
      <w:szCs w:val="2"/>
      <w:lang w:eastAsia="en-US"/>
    </w:rPr>
  </w:style>
  <w:style w:type="paragraph" w:customStyle="1" w:styleId="Zawartotabeli">
    <w:name w:val="Zawartość tabeli"/>
    <w:basedOn w:val="Normal"/>
    <w:uiPriority w:val="99"/>
    <w:rsid w:val="00A32C06"/>
  </w:style>
  <w:style w:type="paragraph" w:customStyle="1" w:styleId="Nagwektabeli">
    <w:name w:val="Nagłówek tabeli"/>
    <w:basedOn w:val="Zawartotabeli"/>
    <w:uiPriority w:val="99"/>
    <w:rsid w:val="00A32C06"/>
  </w:style>
  <w:style w:type="paragraph" w:styleId="FootnoteText">
    <w:name w:val="footnote text"/>
    <w:basedOn w:val="Normal"/>
    <w:link w:val="FootnoteTextChar"/>
    <w:uiPriority w:val="99"/>
    <w:semiHidden/>
    <w:rsid w:val="00A32C0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30D"/>
    <w:rPr>
      <w:color w:val="00000A"/>
      <w:kern w:val="2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32C06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730D"/>
    <w:rPr>
      <w:color w:val="00000A"/>
      <w:kern w:val="2"/>
      <w:lang w:eastAsia="en-US"/>
    </w:rPr>
  </w:style>
  <w:style w:type="paragraph" w:customStyle="1" w:styleId="Style2">
    <w:name w:val="Style2"/>
    <w:basedOn w:val="Normal"/>
    <w:uiPriority w:val="99"/>
    <w:rsid w:val="00A32C06"/>
    <w:pPr>
      <w:spacing w:line="281" w:lineRule="exact"/>
    </w:pPr>
    <w:rPr>
      <w:rFonts w:ascii="Bookman Old Style" w:hAnsi="Bookman Old Style" w:cs="Bookman Old Style"/>
      <w:lang w:eastAsia="ar-SA"/>
    </w:rPr>
  </w:style>
  <w:style w:type="paragraph" w:customStyle="1" w:styleId="Style4">
    <w:name w:val="Style4"/>
    <w:basedOn w:val="Normal"/>
    <w:uiPriority w:val="99"/>
    <w:rsid w:val="00A32C06"/>
    <w:pPr>
      <w:spacing w:line="284" w:lineRule="exact"/>
      <w:jc w:val="both"/>
    </w:pPr>
    <w:rPr>
      <w:rFonts w:ascii="Bookman Old Style" w:hAnsi="Bookman Old Style" w:cs="Bookman Old Style"/>
      <w:lang w:eastAsia="ar-SA"/>
    </w:rPr>
  </w:style>
  <w:style w:type="paragraph" w:customStyle="1" w:styleId="ZnakZnak1ZnakZnakZnakZnak">
    <w:name w:val="Znak Znak1 Znak Znak Znak Znak"/>
    <w:basedOn w:val="Normal"/>
    <w:uiPriority w:val="99"/>
    <w:rsid w:val="00FF36A5"/>
    <w:pPr>
      <w:suppressAutoHyphens w:val="0"/>
      <w:spacing w:after="0" w:line="240" w:lineRule="auto"/>
    </w:pPr>
    <w:rPr>
      <w:color w:val="auto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15</Pages>
  <Words>2987</Words>
  <Characters>17922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Kotecka</dc:creator>
  <cp:keywords/>
  <dc:description/>
  <cp:lastModifiedBy>wiskam</cp:lastModifiedBy>
  <cp:revision>8</cp:revision>
  <cp:lastPrinted>2018-01-12T09:09:00Z</cp:lastPrinted>
  <dcterms:created xsi:type="dcterms:W3CDTF">2018-01-04T07:46:00Z</dcterms:created>
  <dcterms:modified xsi:type="dcterms:W3CDTF">2018-02-13T07:27:00Z</dcterms:modified>
</cp:coreProperties>
</file>